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92FDE" w14:textId="2929034D" w:rsidR="001C5FFE" w:rsidRPr="00DB292B" w:rsidRDefault="001C5FFE" w:rsidP="001C5FFE">
      <w:pPr>
        <w:spacing w:after="0"/>
        <w:ind w:left="6372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             </w:t>
      </w:r>
      <w:r w:rsidRPr="00DB292B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PREDLOG ZA IZDAJO</w:t>
      </w:r>
    </w:p>
    <w:p w14:paraId="03EE2F05" w14:textId="77777777" w:rsidR="001C5FFE" w:rsidRPr="00DB292B" w:rsidRDefault="001C5FFE" w:rsidP="001C5FFE">
      <w:pPr>
        <w:spacing w:after="0"/>
        <w:ind w:left="6372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638E7E59" w14:textId="77777777" w:rsidR="001C5FFE" w:rsidRPr="00DB292B" w:rsidRDefault="001C5FFE" w:rsidP="001C5FFE">
      <w:pPr>
        <w:shd w:val="clear" w:color="auto" w:fill="FFFFFF"/>
        <w:spacing w:after="120" w:line="240" w:lineRule="auto"/>
        <w:jc w:val="both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Na podlagi </w:t>
      </w:r>
      <w:bookmarkStart w:id="0" w:name="_Hlk196467879"/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120. člena ZUreP-3 (Uradni list RS, št. </w:t>
      </w:r>
      <w:hyperlink r:id="rId5" w:tgtFrame="_blank" w:tooltip="Zakon o urejanju prostora (ZUreP-3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199/21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, </w:t>
      </w:r>
      <w:hyperlink r:id="rId6" w:tgtFrame="_blank" w:tooltip="Zakon o spremembah in dopolnitvah Zakona o državni upravi (ZDU-1O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18/23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 – ZDU-1O, </w:t>
      </w:r>
      <w:hyperlink r:id="rId7" w:tgtFrame="_blank" w:tooltip="Zakon o uvajanju naprav za proizvodnjo električne energije iz obnovljivih virov energije (ZUNPEOVE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78/23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 – ZUNPEOVE, </w:t>
      </w:r>
      <w:hyperlink r:id="rId8" w:tgtFrame="_blank" w:tooltip="Zakon o interventnih ukrepih za odpravo posledic poplav in zemeljskih plazov iz avgusta 2023 (ZIUOPZP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95/23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 – ZIUOPZP, </w:t>
      </w:r>
      <w:hyperlink r:id="rId9" w:tgtFrame="_blank" w:tooltip="Zakon o spremembah in dopolnitvi Zakona o urejanju prostora (ZUreP-3A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23/24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, </w:t>
      </w:r>
      <w:hyperlink r:id="rId10" w:tgtFrame="_blank" w:tooltip="Zakon o spremembah in dopolnitvah Zakona o urejanju prostora (ZUreP-3B)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109/24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 in </w:t>
      </w:r>
      <w:hyperlink r:id="rId11" w:tgtFrame="_blank" w:tooltip="Odločba o ugotovitvi, da so prvi, drugi in tretji odstavek 61. člena Zakona o urejanju prostora v neskladju z Ustavo" w:history="1">
        <w:r w:rsidRPr="00DB292B">
          <w:rPr>
            <w:rFonts w:ascii="Roboto" w:eastAsia="Calibri" w:hAnsi="Roboto" w:cs="Times New Roman"/>
            <w:kern w:val="0"/>
            <w:sz w:val="22"/>
            <w:szCs w:val="22"/>
            <w:lang w:eastAsia="sl-SI"/>
            <w14:ligatures w14:val="none"/>
          </w:rPr>
          <w:t>25/25</w:t>
        </w:r>
      </w:hyperlink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 – </w:t>
      </w:r>
      <w:proofErr w:type="spellStart"/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odl</w:t>
      </w:r>
      <w:proofErr w:type="spellEnd"/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. US) </w:t>
      </w:r>
      <w:bookmarkEnd w:id="0"/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in 16. člena Statuta Občine Črnomelj (Uradni list RS, št. 83/11, 24/14 in 66/16, 112/22) je Občinski svet Občine Črnomelj na ________ redni seji dne _____________ sprejel</w:t>
      </w:r>
    </w:p>
    <w:p w14:paraId="6C920AA0" w14:textId="77777777" w:rsidR="001C5FFE" w:rsidRPr="00DB292B" w:rsidRDefault="001C5FFE" w:rsidP="001C5FFE">
      <w:pPr>
        <w:shd w:val="clear" w:color="auto" w:fill="FFFFFF"/>
        <w:spacing w:after="0" w:line="240" w:lineRule="auto"/>
        <w:jc w:val="both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39AE845A" w14:textId="77777777" w:rsidR="001C5FFE" w:rsidRPr="002C5146" w:rsidRDefault="001C5FFE" w:rsidP="001C5FFE">
      <w:pPr>
        <w:shd w:val="clear" w:color="auto" w:fill="FFFFFF"/>
        <w:spacing w:after="0" w:line="360" w:lineRule="atLeast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2C5146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O D L O K </w:t>
      </w:r>
    </w:p>
    <w:p w14:paraId="77183DA5" w14:textId="77777777" w:rsidR="001C5FFE" w:rsidRPr="002C5146" w:rsidRDefault="001C5FFE" w:rsidP="001C5FFE">
      <w:pPr>
        <w:shd w:val="clear" w:color="auto" w:fill="FFFFFF"/>
        <w:spacing w:after="0" w:line="360" w:lineRule="atLeast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2C5146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o spremembah Odloka o določitvi takse za obravnavanje zasebnih pobud za spremembo namenske rabe prostora ter za določitev nadomestila stroškov lokacijske preveritve v občini Črnomelj </w:t>
      </w:r>
    </w:p>
    <w:p w14:paraId="7801D1AF" w14:textId="77777777" w:rsidR="001C5FFE" w:rsidRPr="00DB292B" w:rsidRDefault="001C5FFE" w:rsidP="001C5FFE">
      <w:pPr>
        <w:shd w:val="clear" w:color="auto" w:fill="FFFFFF"/>
        <w:spacing w:after="0" w:line="360" w:lineRule="atLeast"/>
        <w:jc w:val="center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78D61265" w14:textId="77777777" w:rsidR="001C5FFE" w:rsidRPr="00DB292B" w:rsidRDefault="001C5FFE" w:rsidP="001C5FFE">
      <w:pPr>
        <w:shd w:val="clear" w:color="auto" w:fill="FFFFFF"/>
        <w:spacing w:after="0" w:line="240" w:lineRule="auto"/>
        <w:jc w:val="both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478C9537" w14:textId="77777777" w:rsidR="001C5FFE" w:rsidRPr="002C5146" w:rsidRDefault="001C5FFE" w:rsidP="001C5FF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2C5146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člen</w:t>
      </w:r>
    </w:p>
    <w:p w14:paraId="774547CD" w14:textId="77777777" w:rsidR="001C5FFE" w:rsidRPr="002C5146" w:rsidRDefault="001C5FFE" w:rsidP="001C5FFE">
      <w:pPr>
        <w:shd w:val="clear" w:color="auto" w:fill="FFFFFF"/>
        <w:spacing w:after="0" w:line="240" w:lineRule="auto"/>
        <w:ind w:left="720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37E08819" w14:textId="77777777" w:rsidR="001C5FFE" w:rsidRPr="00DB292B" w:rsidRDefault="001C5FFE" w:rsidP="001C5FFE">
      <w:pPr>
        <w:shd w:val="clear" w:color="auto" w:fill="FFFFFF"/>
        <w:spacing w:after="0" w:line="360" w:lineRule="atLeast"/>
        <w:jc w:val="both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V Odloku o določitvi takse za obravnavanje zasebnih pobud za spremembo namenske rabe prostora ter za določitev nadomestila stroškov lokacijske preveritve v občini Črnomelj (Uradni list RS, št. 61/18) se spremeni 2. člen tako, da po novem glasi:</w:t>
      </w:r>
    </w:p>
    <w:p w14:paraId="3BD1EE0A" w14:textId="77777777" w:rsidR="001C5FFE" w:rsidRPr="00DB292B" w:rsidRDefault="001C5FFE" w:rsidP="001C5FFE">
      <w:pPr>
        <w:shd w:val="clear" w:color="auto" w:fill="FFFFFF"/>
        <w:spacing w:after="0" w:line="360" w:lineRule="atLeast"/>
        <w:jc w:val="both"/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fldChar w:fldCharType="begin"/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instrText>HYPERLINK "https://www.uradni-list.si/glasilo-uradni-list-rs/vsebina/2018-01-2989/odlok-o-dolocitvi-takse-za-obravnavanje-zasebnih-pobud-za-spremembo-namenske-rabe-prostora-ter-za-dolocitev-nadomestila-stroskov-lokacijske-preveritve-v-obcini-crnomelj/" \l "2.%C2%A0%C4%8Dlen"</w:instrText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fldChar w:fldCharType="separate"/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 xml:space="preserve"> </w:t>
      </w:r>
    </w:p>
    <w:p w14:paraId="7FA5CFFE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fldChar w:fldCharType="end"/>
      </w: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»(1) Višina takse za posamezno pobudo za spremembo namenske rabe prostora znaša:</w:t>
      </w:r>
    </w:p>
    <w:p w14:paraId="172945BA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– za spremembo osnovne namenske rabe prostora: 250,00 eurov,</w:t>
      </w:r>
    </w:p>
    <w:p w14:paraId="2564AD30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– za spremembo podrobnejše namenske rabe prostora: 200,00 eurov.«</w:t>
      </w:r>
    </w:p>
    <w:p w14:paraId="2254E241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2D78ACF5" w14:textId="77777777" w:rsidR="001C5FFE" w:rsidRDefault="001C5FFE" w:rsidP="002C514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2C5146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člen</w:t>
      </w:r>
    </w:p>
    <w:p w14:paraId="177FB79C" w14:textId="77777777" w:rsidR="002C5146" w:rsidRPr="002C5146" w:rsidRDefault="002C5146" w:rsidP="002A6DF3">
      <w:pPr>
        <w:shd w:val="clear" w:color="auto" w:fill="FFFFFF"/>
        <w:spacing w:after="0" w:line="240" w:lineRule="auto"/>
        <w:ind w:left="720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09900893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Ta odlok začne veljati osmi dan po objavi v Uradnem listu Republike Slovenije.</w:t>
      </w:r>
    </w:p>
    <w:p w14:paraId="75A5B382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70E486B2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</w:p>
    <w:p w14:paraId="0A106044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Št. 007-0008/2018</w:t>
      </w:r>
    </w:p>
    <w:p w14:paraId="3149BF16" w14:textId="77777777" w:rsidR="001C5FFE" w:rsidRPr="00DB292B" w:rsidRDefault="001C5FFE" w:rsidP="001C5FFE">
      <w:pPr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" w:eastAsia="Calibri" w:hAnsi="Roboto" w:cs="Times New Roman"/>
          <w:kern w:val="0"/>
          <w:sz w:val="22"/>
          <w:szCs w:val="22"/>
          <w:lang w:eastAsia="sl-SI"/>
          <w14:ligatures w14:val="none"/>
        </w:rPr>
        <w:t>Črnomelj, dne ____________2025</w:t>
      </w:r>
    </w:p>
    <w:p w14:paraId="319EC11B" w14:textId="77777777" w:rsidR="00DB292B" w:rsidRDefault="001C5FFE" w:rsidP="00DB292B">
      <w:pPr>
        <w:spacing w:line="240" w:lineRule="auto"/>
        <w:ind w:left="4956" w:firstLine="708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Župan</w:t>
      </w:r>
    </w:p>
    <w:p w14:paraId="78336A6C" w14:textId="5BC86385" w:rsidR="001C5FFE" w:rsidRPr="00DB292B" w:rsidRDefault="001C5FFE" w:rsidP="00DB292B">
      <w:pPr>
        <w:spacing w:line="240" w:lineRule="auto"/>
        <w:ind w:left="5664"/>
        <w:jc w:val="center"/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</w:pPr>
      <w:r w:rsidRPr="00DB292B">
        <w:rPr>
          <w:rFonts w:ascii="Roboto Slab ExtraBold" w:eastAsia="Calibri" w:hAnsi="Roboto Slab ExtraBold" w:cs="Times New Roman"/>
          <w:bCs/>
          <w:kern w:val="0"/>
          <w:sz w:val="22"/>
          <w:szCs w:val="22"/>
          <w:lang w:eastAsia="sl-SI"/>
          <w14:ligatures w14:val="none"/>
        </w:rPr>
        <w:t>Občine Črnomelj                                                                                  Andrej Kavšek</w:t>
      </w:r>
    </w:p>
    <w:p w14:paraId="5DCF2930" w14:textId="77777777" w:rsidR="008119B6" w:rsidRDefault="008119B6"/>
    <w:sectPr w:rsidR="008119B6" w:rsidSect="001C5FF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 Slab Extra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069A5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450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FE"/>
    <w:rsid w:val="001C5FFE"/>
    <w:rsid w:val="002A6DF3"/>
    <w:rsid w:val="002C5146"/>
    <w:rsid w:val="004B0900"/>
    <w:rsid w:val="008119B6"/>
    <w:rsid w:val="008474FE"/>
    <w:rsid w:val="00876B66"/>
    <w:rsid w:val="0091756C"/>
    <w:rsid w:val="00A33528"/>
    <w:rsid w:val="00D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538"/>
  <w15:chartTrackingRefBased/>
  <w15:docId w15:val="{3B83C8F9-5E33-453B-95D8-F567593E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C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5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5F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5F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5F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5F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5F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5F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5F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5F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5F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5F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5FF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1C5FF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26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3-01-24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3-01-0348" TargetMode="External"/><Relationship Id="rId11" Type="http://schemas.openxmlformats.org/officeDocument/2006/relationships/hyperlink" Target="https://www.uradni-list.si/glasilo-uradni-list-rs/vsebina/2025-01-0872" TargetMode="External"/><Relationship Id="rId5" Type="http://schemas.openxmlformats.org/officeDocument/2006/relationships/hyperlink" Target="https://www.uradni-list.si/glasilo-uradni-list-rs/vsebina/2021-01-3971" TargetMode="External"/><Relationship Id="rId10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4-01-069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Starešinič</dc:creator>
  <cp:keywords/>
  <dc:description/>
  <cp:lastModifiedBy>Brigita Starešinič</cp:lastModifiedBy>
  <cp:revision>2</cp:revision>
  <dcterms:created xsi:type="dcterms:W3CDTF">2025-05-12T05:58:00Z</dcterms:created>
  <dcterms:modified xsi:type="dcterms:W3CDTF">2025-05-12T05:58:00Z</dcterms:modified>
</cp:coreProperties>
</file>