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8659D" w14:textId="3344B754" w:rsidR="00240979" w:rsidRDefault="00432598" w:rsidP="002C57B0">
      <w:pPr>
        <w:jc w:val="both"/>
        <w:rPr>
          <w:rFonts w:eastAsia="Times New Roman" w:cs="Tahoma"/>
          <w:szCs w:val="20"/>
          <w:lang w:eastAsia="sl-SI"/>
        </w:rPr>
      </w:pPr>
      <w:r w:rsidRPr="00432598">
        <w:rPr>
          <w:rFonts w:eastAsia="Times New Roman" w:cs="Tahoma"/>
          <w:szCs w:val="20"/>
          <w:lang w:eastAsia="sl-SI"/>
        </w:rPr>
        <w:t>Na podlagi 18. člena </w:t>
      </w:r>
      <w:hyperlink r:id="rId7" w:history="1">
        <w:r w:rsidRPr="00432598">
          <w:rPr>
            <w:rFonts w:eastAsia="Times New Roman" w:cs="Tahoma"/>
            <w:szCs w:val="20"/>
            <w:lang w:eastAsia="sl-SI"/>
          </w:rPr>
          <w:t>Zakona o varstvu javnega reda in miru</w:t>
        </w:r>
      </w:hyperlink>
      <w:r w:rsidRPr="00432598">
        <w:rPr>
          <w:rFonts w:eastAsia="Times New Roman" w:cs="Tahoma"/>
          <w:szCs w:val="20"/>
          <w:lang w:eastAsia="sl-SI"/>
        </w:rPr>
        <w:t> /ZJRM-1/ (Uradni list RS, št. 70/06</w:t>
      </w:r>
      <w:r w:rsidR="002C57B0">
        <w:rPr>
          <w:rFonts w:eastAsia="Times New Roman" w:cs="Tahoma"/>
          <w:szCs w:val="20"/>
          <w:lang w:eastAsia="sl-SI"/>
        </w:rPr>
        <w:t xml:space="preserve"> in 139/20</w:t>
      </w:r>
      <w:r w:rsidRPr="00432598">
        <w:rPr>
          <w:rFonts w:eastAsia="Times New Roman" w:cs="Tahoma"/>
          <w:szCs w:val="20"/>
          <w:lang w:eastAsia="sl-SI"/>
        </w:rPr>
        <w:t>), 65. in 66. člena </w:t>
      </w:r>
      <w:hyperlink r:id="rId8" w:history="1">
        <w:r w:rsidRPr="00432598">
          <w:rPr>
            <w:rFonts w:eastAsia="Times New Roman" w:cs="Tahoma"/>
            <w:szCs w:val="20"/>
            <w:lang w:eastAsia="sl-SI"/>
          </w:rPr>
          <w:t>Zakona o lokalni samoupravi</w:t>
        </w:r>
      </w:hyperlink>
      <w:r w:rsidRPr="00432598">
        <w:rPr>
          <w:rFonts w:eastAsia="Times New Roman" w:cs="Tahoma"/>
          <w:szCs w:val="20"/>
          <w:lang w:eastAsia="sl-SI"/>
        </w:rPr>
        <w:t> /ZLS/ (Uradni list RS, št. 94/07 – uradno prečiščeno besedilo, 76/08, 79/09, 51/10, 40/12 – ZUJF, 14/1</w:t>
      </w:r>
      <w:r w:rsidR="002C57B0">
        <w:rPr>
          <w:rFonts w:eastAsia="Times New Roman" w:cs="Tahoma"/>
          <w:szCs w:val="20"/>
          <w:lang w:eastAsia="sl-SI"/>
        </w:rPr>
        <w:t>5 – ZUUJFO, 11/18 – ZSPDSLS-1,</w:t>
      </w:r>
      <w:r w:rsidRPr="00432598">
        <w:rPr>
          <w:rFonts w:eastAsia="Times New Roman" w:cs="Tahoma"/>
          <w:szCs w:val="20"/>
          <w:lang w:eastAsia="sl-SI"/>
        </w:rPr>
        <w:t xml:space="preserve"> 30/18</w:t>
      </w:r>
      <w:r w:rsidR="002C57B0">
        <w:rPr>
          <w:rFonts w:eastAsia="Times New Roman" w:cs="Tahoma"/>
          <w:szCs w:val="20"/>
          <w:lang w:eastAsia="sl-SI"/>
        </w:rPr>
        <w:t>, 61/20 – ZIUZEOP-A in 80/20 - ZIUOOPE</w:t>
      </w:r>
      <w:r w:rsidRPr="00432598">
        <w:rPr>
          <w:rFonts w:eastAsia="Times New Roman" w:cs="Tahoma"/>
          <w:szCs w:val="20"/>
          <w:lang w:eastAsia="sl-SI"/>
        </w:rPr>
        <w:t>), 17. člena </w:t>
      </w:r>
      <w:hyperlink r:id="rId9" w:history="1">
        <w:r w:rsidRPr="00432598">
          <w:rPr>
            <w:rFonts w:eastAsia="Times New Roman" w:cs="Tahoma"/>
            <w:szCs w:val="20"/>
            <w:lang w:eastAsia="sl-SI"/>
          </w:rPr>
          <w:t>Zakona o prekrških</w:t>
        </w:r>
      </w:hyperlink>
      <w:r w:rsidRPr="00432598">
        <w:rPr>
          <w:rFonts w:eastAsia="Times New Roman" w:cs="Tahoma"/>
          <w:szCs w:val="20"/>
          <w:lang w:eastAsia="sl-SI"/>
        </w:rPr>
        <w:t> /ZP-1/ (Uradni list RS, št. 29/11 – UPB, 21/13, 111/13, 74/14 – od</w:t>
      </w:r>
      <w:r w:rsidR="002C57B0">
        <w:rPr>
          <w:rFonts w:eastAsia="Times New Roman" w:cs="Tahoma"/>
          <w:szCs w:val="20"/>
          <w:lang w:eastAsia="sl-SI"/>
        </w:rPr>
        <w:t>l. US, 92/14 – odl. US, 32/16,</w:t>
      </w:r>
      <w:r w:rsidRPr="00432598">
        <w:rPr>
          <w:rFonts w:eastAsia="Times New Roman" w:cs="Tahoma"/>
          <w:szCs w:val="20"/>
          <w:lang w:eastAsia="sl-SI"/>
        </w:rPr>
        <w:t xml:space="preserve"> 15/17 – odl. US</w:t>
      </w:r>
      <w:r w:rsidR="002C57B0">
        <w:rPr>
          <w:rFonts w:eastAsia="Times New Roman" w:cs="Tahoma"/>
          <w:szCs w:val="20"/>
          <w:lang w:eastAsia="sl-SI"/>
        </w:rPr>
        <w:t>, 73/19 – odl. US, 175/20 – ZIUOPDVE in 5/21 – odl. US</w:t>
      </w:r>
      <w:r w:rsidRPr="00432598">
        <w:rPr>
          <w:rFonts w:eastAsia="Times New Roman" w:cs="Tahoma"/>
          <w:szCs w:val="20"/>
          <w:lang w:eastAsia="sl-SI"/>
        </w:rPr>
        <w:t>) in 16. člena </w:t>
      </w:r>
      <w:hyperlink r:id="rId10" w:history="1">
        <w:r w:rsidRPr="00432598">
          <w:rPr>
            <w:rFonts w:eastAsia="Times New Roman" w:cs="Tahoma"/>
            <w:szCs w:val="20"/>
            <w:lang w:eastAsia="sl-SI"/>
          </w:rPr>
          <w:t>Statuta Občine Črnomelj</w:t>
        </w:r>
      </w:hyperlink>
      <w:r w:rsidRPr="00432598">
        <w:rPr>
          <w:rFonts w:eastAsia="Times New Roman" w:cs="Tahoma"/>
          <w:szCs w:val="20"/>
          <w:lang w:eastAsia="sl-SI"/>
        </w:rPr>
        <w:t> (Ura</w:t>
      </w:r>
      <w:r w:rsidR="0039445C">
        <w:rPr>
          <w:rFonts w:eastAsia="Times New Roman" w:cs="Tahoma"/>
          <w:szCs w:val="20"/>
          <w:lang w:eastAsia="sl-SI"/>
        </w:rPr>
        <w:t>dni list RS, št. 83/11, 24/14,</w:t>
      </w:r>
      <w:r w:rsidRPr="00432598">
        <w:rPr>
          <w:rFonts w:eastAsia="Times New Roman" w:cs="Tahoma"/>
          <w:szCs w:val="20"/>
          <w:lang w:eastAsia="sl-SI"/>
        </w:rPr>
        <w:t xml:space="preserve"> 66/16</w:t>
      </w:r>
      <w:r w:rsidR="0039445C">
        <w:rPr>
          <w:rFonts w:eastAsia="Times New Roman" w:cs="Tahoma"/>
          <w:szCs w:val="20"/>
          <w:lang w:eastAsia="sl-SI"/>
        </w:rPr>
        <w:t xml:space="preserve"> in 112/22</w:t>
      </w:r>
      <w:r w:rsidRPr="00432598">
        <w:rPr>
          <w:rFonts w:eastAsia="Times New Roman" w:cs="Tahoma"/>
          <w:szCs w:val="20"/>
          <w:lang w:eastAsia="sl-SI"/>
        </w:rPr>
        <w:t xml:space="preserve">) je Občinski svet Občine Črnomelj na </w:t>
      </w:r>
      <w:r w:rsidR="002C57B0">
        <w:rPr>
          <w:rFonts w:eastAsia="Times New Roman" w:cs="Tahoma"/>
          <w:szCs w:val="20"/>
          <w:lang w:eastAsia="sl-SI"/>
        </w:rPr>
        <w:t>______</w:t>
      </w:r>
      <w:r w:rsidRPr="00432598">
        <w:rPr>
          <w:rFonts w:eastAsia="Times New Roman" w:cs="Tahoma"/>
          <w:szCs w:val="20"/>
          <w:lang w:eastAsia="sl-SI"/>
        </w:rPr>
        <w:t xml:space="preserve"> redni seji dne </w:t>
      </w:r>
      <w:r w:rsidR="002C57B0">
        <w:rPr>
          <w:rFonts w:eastAsia="Times New Roman" w:cs="Tahoma"/>
          <w:szCs w:val="20"/>
          <w:lang w:eastAsia="sl-SI"/>
        </w:rPr>
        <w:t>___________</w:t>
      </w:r>
      <w:r w:rsidRPr="00432598">
        <w:rPr>
          <w:rFonts w:eastAsia="Times New Roman" w:cs="Tahoma"/>
          <w:szCs w:val="20"/>
          <w:lang w:eastAsia="sl-SI"/>
        </w:rPr>
        <w:t xml:space="preserve"> sprejel</w:t>
      </w:r>
    </w:p>
    <w:p w14:paraId="33AF10E7" w14:textId="77777777" w:rsidR="002C57B0" w:rsidRDefault="002C57B0" w:rsidP="002C57B0">
      <w:pPr>
        <w:jc w:val="both"/>
        <w:rPr>
          <w:rFonts w:eastAsia="Times New Roman" w:cs="Tahoma"/>
          <w:szCs w:val="20"/>
          <w:lang w:eastAsia="sl-SI"/>
        </w:rPr>
      </w:pPr>
    </w:p>
    <w:p w14:paraId="5E2831BA" w14:textId="77777777" w:rsidR="002C57B0" w:rsidRPr="002C57B0" w:rsidRDefault="002C57B0" w:rsidP="002C57B0">
      <w:pPr>
        <w:spacing w:after="0"/>
        <w:jc w:val="center"/>
        <w:rPr>
          <w:rFonts w:eastAsia="Times New Roman" w:cs="Tahoma"/>
          <w:b/>
          <w:sz w:val="24"/>
          <w:szCs w:val="20"/>
          <w:lang w:eastAsia="sl-SI"/>
        </w:rPr>
      </w:pPr>
      <w:r w:rsidRPr="002C57B0">
        <w:rPr>
          <w:rFonts w:eastAsia="Times New Roman" w:cs="Tahoma"/>
          <w:b/>
          <w:sz w:val="24"/>
          <w:szCs w:val="20"/>
          <w:lang w:eastAsia="sl-SI"/>
        </w:rPr>
        <w:t>ODLOK</w:t>
      </w:r>
    </w:p>
    <w:p w14:paraId="4708952C" w14:textId="77777777" w:rsidR="00432598" w:rsidRPr="001D62F5" w:rsidRDefault="002C57B0" w:rsidP="001D62F5">
      <w:pPr>
        <w:spacing w:after="0"/>
        <w:jc w:val="center"/>
        <w:rPr>
          <w:b/>
          <w:sz w:val="28"/>
        </w:rPr>
      </w:pPr>
      <w:r>
        <w:rPr>
          <w:rFonts w:eastAsia="Times New Roman" w:cs="Tahoma"/>
          <w:b/>
          <w:sz w:val="24"/>
          <w:szCs w:val="20"/>
          <w:lang w:eastAsia="sl-SI"/>
        </w:rPr>
        <w:t>o</w:t>
      </w:r>
      <w:r w:rsidRPr="002C57B0">
        <w:rPr>
          <w:rFonts w:eastAsia="Times New Roman" w:cs="Tahoma"/>
          <w:b/>
          <w:sz w:val="24"/>
          <w:szCs w:val="20"/>
          <w:lang w:eastAsia="sl-SI"/>
        </w:rPr>
        <w:t xml:space="preserve"> spremembah in dopolnitvah Odloka o taborjenju v Občini Črnomelj</w:t>
      </w:r>
    </w:p>
    <w:p w14:paraId="2F4F8257" w14:textId="77777777" w:rsidR="00432598" w:rsidRDefault="00432598"/>
    <w:p w14:paraId="184816C7" w14:textId="77777777" w:rsidR="00432598" w:rsidRPr="002C57B0" w:rsidRDefault="002C57B0" w:rsidP="00086033">
      <w:pPr>
        <w:pStyle w:val="Odstavekseznama"/>
        <w:numPr>
          <w:ilvl w:val="0"/>
          <w:numId w:val="1"/>
        </w:numPr>
        <w:spacing w:after="0"/>
        <w:jc w:val="center"/>
        <w:rPr>
          <w:b/>
        </w:rPr>
      </w:pPr>
      <w:r w:rsidRPr="002C57B0">
        <w:rPr>
          <w:b/>
        </w:rPr>
        <w:t>člen</w:t>
      </w:r>
    </w:p>
    <w:p w14:paraId="209E9B99" w14:textId="77777777" w:rsidR="00843CFA" w:rsidRDefault="002C57B0" w:rsidP="00086033">
      <w:pPr>
        <w:spacing w:after="0"/>
        <w:jc w:val="both"/>
      </w:pPr>
      <w:r>
        <w:t>V 3. členu odloka se za tretjim odstavkom doda nov četrti odstavek, ki se glasi:</w:t>
      </w:r>
    </w:p>
    <w:p w14:paraId="7FC4051C" w14:textId="259BFA7A" w:rsidR="002C57B0" w:rsidRDefault="002C57B0" w:rsidP="00086033">
      <w:pPr>
        <w:spacing w:after="0"/>
        <w:jc w:val="both"/>
      </w:pPr>
      <w:r w:rsidRPr="002C57B0">
        <w:t>»</w:t>
      </w:r>
      <w:r>
        <w:t>Na vseh ostalih območjih je taborjenje in postavljanje šotorov</w:t>
      </w:r>
      <w:r w:rsidR="0081313B">
        <w:t>, kamp prikolic, avtodomov</w:t>
      </w:r>
      <w:r>
        <w:t xml:space="preserve"> ali drugih zasilnih objektov z namenom taborjenja in šotorjenja prepoveda</w:t>
      </w:r>
      <w:r w:rsidR="00BC20B6">
        <w:t>n</w:t>
      </w:r>
      <w:r>
        <w:t>o.«</w:t>
      </w:r>
    </w:p>
    <w:p w14:paraId="1E04FCC8" w14:textId="77777777" w:rsidR="00BC20B6" w:rsidRDefault="00BC20B6" w:rsidP="002C57B0">
      <w:pPr>
        <w:spacing w:after="0"/>
      </w:pPr>
    </w:p>
    <w:p w14:paraId="40625701" w14:textId="75C31A5A" w:rsidR="00BC20B6" w:rsidRDefault="00BC20B6" w:rsidP="002C57B0">
      <w:pPr>
        <w:spacing w:after="0"/>
      </w:pPr>
      <w:r w:rsidRPr="00CD6ABF">
        <w:t>Dosedanji</w:t>
      </w:r>
      <w:r w:rsidR="00CD6ABF" w:rsidRPr="00CD6ABF">
        <w:t xml:space="preserve"> tretji odstavek postane četrti odstavek.</w:t>
      </w:r>
    </w:p>
    <w:p w14:paraId="17B08CBE" w14:textId="77777777" w:rsidR="00BC20B6" w:rsidRDefault="00BC20B6" w:rsidP="002C57B0">
      <w:pPr>
        <w:spacing w:after="0"/>
      </w:pPr>
    </w:p>
    <w:p w14:paraId="21D2CB3E" w14:textId="77777777" w:rsidR="00086033" w:rsidRDefault="00086033" w:rsidP="002C57B0">
      <w:pPr>
        <w:spacing w:after="0"/>
      </w:pPr>
    </w:p>
    <w:p w14:paraId="7EC9F7CD" w14:textId="4731B92C" w:rsidR="002C57B0" w:rsidRPr="00086033" w:rsidRDefault="00BC20B6" w:rsidP="00086033">
      <w:pPr>
        <w:pStyle w:val="Odstavekseznama"/>
        <w:numPr>
          <w:ilvl w:val="0"/>
          <w:numId w:val="1"/>
        </w:numPr>
        <w:spacing w:after="0"/>
        <w:jc w:val="center"/>
        <w:rPr>
          <w:b/>
        </w:rPr>
      </w:pPr>
      <w:r w:rsidRPr="00BC20B6">
        <w:rPr>
          <w:b/>
        </w:rPr>
        <w:t>člen</w:t>
      </w:r>
    </w:p>
    <w:p w14:paraId="25346C7C" w14:textId="77777777" w:rsidR="002C57B0" w:rsidRPr="00843CFA" w:rsidRDefault="00BC20B6" w:rsidP="00843CFA">
      <w:pPr>
        <w:spacing w:after="0"/>
        <w:jc w:val="both"/>
      </w:pPr>
      <w:r w:rsidRPr="00843CFA">
        <w:t>Spremeni se 11. člen odloka</w:t>
      </w:r>
      <w:r w:rsidR="00843CFA" w:rsidRPr="00843CFA">
        <w:t>,</w:t>
      </w:r>
      <w:r w:rsidRPr="00843CFA">
        <w:t xml:space="preserve"> </w:t>
      </w:r>
      <w:r w:rsidR="00843CFA">
        <w:t>ki se na novo</w:t>
      </w:r>
      <w:r w:rsidRPr="00843CFA">
        <w:t xml:space="preserve"> glasi: </w:t>
      </w:r>
    </w:p>
    <w:p w14:paraId="67329202" w14:textId="77777777" w:rsidR="00843CFA" w:rsidRPr="00843CFA" w:rsidRDefault="00843CFA" w:rsidP="00843CFA">
      <w:pPr>
        <w:spacing w:after="0"/>
        <w:jc w:val="both"/>
        <w:rPr>
          <w:rFonts w:eastAsia="Times New Roman" w:cs="Tahoma"/>
          <w:lang w:eastAsia="sl-SI"/>
        </w:rPr>
      </w:pPr>
      <w:r w:rsidRPr="00843CFA">
        <w:t>»</w:t>
      </w:r>
      <w:r w:rsidRPr="00843CFA">
        <w:rPr>
          <w:rFonts w:eastAsia="Times New Roman" w:cs="Tahoma"/>
          <w:lang w:eastAsia="sl-SI"/>
        </w:rPr>
        <w:t xml:space="preserve">Z globo v znesku 400 eurov se kaznuje </w:t>
      </w:r>
      <w:r w:rsidRPr="00843CFA">
        <w:rPr>
          <w:shd w:val="clear" w:color="auto" w:fill="FFFFFF"/>
        </w:rPr>
        <w:t>pravna oseba, samostojni podjetnik posameznik in posameznik, ki samostojno opravlja dejavnost, z globo 100 eurov pa njihova odgovorna oseba, ki</w:t>
      </w:r>
      <w:r w:rsidRPr="00843CFA">
        <w:rPr>
          <w:rFonts w:eastAsia="Times New Roman" w:cs="Tahoma"/>
          <w:lang w:eastAsia="sl-SI"/>
        </w:rPr>
        <w:t>:</w:t>
      </w:r>
    </w:p>
    <w:p w14:paraId="1A184313" w14:textId="77777777" w:rsidR="00843CFA" w:rsidRPr="00843CFA" w:rsidRDefault="00843CFA" w:rsidP="00843CFA">
      <w:pPr>
        <w:spacing w:after="0"/>
        <w:jc w:val="both"/>
      </w:pPr>
      <w:r w:rsidRPr="00843CFA">
        <w:rPr>
          <w:rFonts w:eastAsia="Times New Roman" w:cs="Tahoma"/>
          <w:lang w:eastAsia="sl-SI"/>
        </w:rPr>
        <w:t>1. organizira ali omogoči taborjenje na območju, kjer je prepovedano taboriti (3. člen);</w:t>
      </w:r>
    </w:p>
    <w:p w14:paraId="2FD1FC68" w14:textId="77777777" w:rsidR="00843CFA" w:rsidRPr="00843CFA" w:rsidRDefault="00843CFA" w:rsidP="00843CFA">
      <w:pPr>
        <w:spacing w:after="0"/>
        <w:jc w:val="both"/>
      </w:pPr>
      <w:r w:rsidRPr="00843CFA">
        <w:rPr>
          <w:rFonts w:eastAsia="Times New Roman" w:cs="Tahoma"/>
          <w:iCs/>
          <w:lang w:eastAsia="sl-SI"/>
        </w:rPr>
        <w:t>2.</w:t>
      </w:r>
      <w:r w:rsidRPr="00843CFA">
        <w:rPr>
          <w:rFonts w:eastAsia="Times New Roman" w:cs="Tahoma"/>
          <w:lang w:eastAsia="sl-SI"/>
        </w:rPr>
        <w:t> omogoči taborjenje osebam v nasprotju z določili 4. člena;</w:t>
      </w:r>
    </w:p>
    <w:p w14:paraId="25CCE6B8" w14:textId="77777777" w:rsidR="00843CFA" w:rsidRPr="00843CFA" w:rsidRDefault="00843CFA" w:rsidP="00843CFA">
      <w:pPr>
        <w:spacing w:after="0"/>
        <w:jc w:val="both"/>
      </w:pPr>
      <w:r w:rsidRPr="00843CFA">
        <w:rPr>
          <w:rFonts w:eastAsia="Times New Roman" w:cs="Tahoma"/>
          <w:iCs/>
          <w:lang w:eastAsia="sl-SI"/>
        </w:rPr>
        <w:t>3.</w:t>
      </w:r>
      <w:r w:rsidRPr="00843CFA">
        <w:rPr>
          <w:rFonts w:eastAsia="Times New Roman" w:cs="Tahoma"/>
          <w:lang w:eastAsia="sl-SI"/>
        </w:rPr>
        <w:t> ne upošteva pogojev</w:t>
      </w:r>
      <w:r w:rsidRPr="00843CFA">
        <w:rPr>
          <w:rFonts w:eastAsia="Times New Roman" w:cs="Tahoma"/>
          <w:iCs/>
          <w:shd w:val="clear" w:color="auto" w:fill="FFFFFF"/>
          <w:lang w:eastAsia="sl-SI"/>
        </w:rPr>
        <w:t>, ki so določeni v Dovoljenju o taborjenju</w:t>
      </w:r>
      <w:r w:rsidRPr="00843CFA">
        <w:rPr>
          <w:rFonts w:eastAsia="Times New Roman" w:cs="Tahoma"/>
          <w:lang w:eastAsia="sl-SI"/>
        </w:rPr>
        <w:t>;  </w:t>
      </w:r>
    </w:p>
    <w:p w14:paraId="40BBD884" w14:textId="77777777" w:rsidR="00843CFA" w:rsidRPr="00843CFA" w:rsidRDefault="00843CFA" w:rsidP="00843CFA">
      <w:pPr>
        <w:spacing w:after="0"/>
        <w:jc w:val="both"/>
      </w:pPr>
      <w:r w:rsidRPr="00843CFA">
        <w:rPr>
          <w:rFonts w:eastAsia="Times New Roman" w:cs="Tahoma"/>
          <w:iCs/>
          <w:lang w:eastAsia="sl-SI"/>
        </w:rPr>
        <w:t>4.</w:t>
      </w:r>
      <w:r w:rsidRPr="00843CFA">
        <w:rPr>
          <w:rFonts w:eastAsia="Times New Roman" w:cs="Tahoma"/>
          <w:lang w:eastAsia="sl-SI"/>
        </w:rPr>
        <w:t>  po končanem taborjenju oziroma odstranitvi tabora zemljišča ne vzpostavi v prvotno stanje (tretji odstavek 7. člena).</w:t>
      </w:r>
    </w:p>
    <w:p w14:paraId="77A3F521" w14:textId="77777777" w:rsidR="00843CFA" w:rsidRDefault="00843CFA" w:rsidP="00843CFA"/>
    <w:p w14:paraId="1FA0DA7F" w14:textId="77777777" w:rsidR="00086033" w:rsidRDefault="00086033" w:rsidP="00843CFA"/>
    <w:p w14:paraId="2F96AA19" w14:textId="47A61891" w:rsidR="000F289F" w:rsidRPr="000F289F" w:rsidRDefault="000F289F" w:rsidP="00086033">
      <w:pPr>
        <w:pStyle w:val="Odstavekseznama"/>
        <w:numPr>
          <w:ilvl w:val="0"/>
          <w:numId w:val="1"/>
        </w:numPr>
        <w:spacing w:after="0"/>
        <w:jc w:val="center"/>
        <w:rPr>
          <w:b/>
        </w:rPr>
      </w:pPr>
      <w:r w:rsidRPr="000F289F">
        <w:rPr>
          <w:b/>
        </w:rPr>
        <w:t>člen</w:t>
      </w:r>
    </w:p>
    <w:p w14:paraId="42084E09" w14:textId="34C34947" w:rsidR="000F289F" w:rsidRDefault="000F289F" w:rsidP="00086033">
      <w:pPr>
        <w:spacing w:after="0"/>
        <w:rPr>
          <w:color w:val="000000"/>
          <w:shd w:val="clear" w:color="auto" w:fill="FFFFFF"/>
        </w:rPr>
      </w:pPr>
      <w:r w:rsidRPr="000F289F">
        <w:rPr>
          <w:color w:val="000000"/>
          <w:shd w:val="clear" w:color="auto" w:fill="FFFFFF"/>
        </w:rPr>
        <w:t xml:space="preserve">Za </w:t>
      </w:r>
      <w:r w:rsidRPr="000F289F">
        <w:rPr>
          <w:color w:val="000000"/>
          <w:shd w:val="clear" w:color="auto" w:fill="FFFFFF"/>
        </w:rPr>
        <w:t>11</w:t>
      </w:r>
      <w:r w:rsidRPr="000F289F">
        <w:rPr>
          <w:color w:val="000000"/>
          <w:shd w:val="clear" w:color="auto" w:fill="FFFFFF"/>
        </w:rPr>
        <w:t xml:space="preserve">. členom se doda nov </w:t>
      </w:r>
      <w:r w:rsidRPr="000F289F">
        <w:rPr>
          <w:color w:val="000000"/>
          <w:shd w:val="clear" w:color="auto" w:fill="FFFFFF"/>
        </w:rPr>
        <w:t>11</w:t>
      </w:r>
      <w:r w:rsidRPr="000F289F">
        <w:rPr>
          <w:color w:val="000000"/>
          <w:shd w:val="clear" w:color="auto" w:fill="FFFFFF"/>
        </w:rPr>
        <w:t>.a člen, ki se glasi:</w:t>
      </w:r>
    </w:p>
    <w:p w14:paraId="2CA97417" w14:textId="5731DF97" w:rsidR="000F289F" w:rsidRDefault="000F289F" w:rsidP="00086033">
      <w:pPr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»Z globo 100 eurov se kaznuje posameznik, ki tabori, postavlja šotore, kamp prikolice, avtodome in druge zasilne objekte z namenom taborjenja in šotorjenja na območjih kjer to ni dovoljeno (četrti odstavek tretjega člena).</w:t>
      </w:r>
      <w:r w:rsidR="00086033">
        <w:rPr>
          <w:color w:val="000000"/>
          <w:shd w:val="clear" w:color="auto" w:fill="FFFFFF"/>
        </w:rPr>
        <w:t>«</w:t>
      </w:r>
    </w:p>
    <w:p w14:paraId="2F5B99CB" w14:textId="77777777" w:rsidR="00086033" w:rsidRPr="000F289F" w:rsidRDefault="00086033" w:rsidP="000F289F"/>
    <w:p w14:paraId="67FFFC8E" w14:textId="0C281529" w:rsidR="00843CFA" w:rsidRPr="00CD6ABF" w:rsidRDefault="00843CFA" w:rsidP="00CD6ABF">
      <w:pPr>
        <w:pStyle w:val="Odstavekseznama"/>
        <w:numPr>
          <w:ilvl w:val="0"/>
          <w:numId w:val="1"/>
        </w:numPr>
        <w:jc w:val="center"/>
        <w:rPr>
          <w:b/>
        </w:rPr>
      </w:pPr>
      <w:r w:rsidRPr="00CD6ABF">
        <w:rPr>
          <w:b/>
        </w:rPr>
        <w:t>člen</w:t>
      </w:r>
    </w:p>
    <w:p w14:paraId="6288CBD8" w14:textId="77777777" w:rsidR="00843CFA" w:rsidRPr="001D62F5" w:rsidRDefault="00843CFA" w:rsidP="0081313B">
      <w:pPr>
        <w:spacing w:after="0"/>
        <w:jc w:val="both"/>
      </w:pPr>
      <w:r w:rsidRPr="001D62F5">
        <w:t xml:space="preserve">Spremeni se 12. člen odloka, ki se na novo glasi: </w:t>
      </w:r>
    </w:p>
    <w:p w14:paraId="35010BC4" w14:textId="77777777" w:rsidR="00843CFA" w:rsidRPr="001D62F5" w:rsidRDefault="001D62F5" w:rsidP="0081313B">
      <w:pPr>
        <w:spacing w:after="0"/>
        <w:jc w:val="both"/>
      </w:pPr>
      <w:r w:rsidRPr="001D62F5">
        <w:rPr>
          <w:rFonts w:eastAsia="Times New Roman" w:cs="Tahoma"/>
          <w:lang w:eastAsia="sl-SI"/>
        </w:rPr>
        <w:t>»</w:t>
      </w:r>
      <w:r w:rsidR="00843CFA" w:rsidRPr="001D62F5">
        <w:rPr>
          <w:rFonts w:eastAsia="Times New Roman" w:cs="Tahoma"/>
          <w:lang w:eastAsia="sl-SI"/>
        </w:rPr>
        <w:t>Z globo v znesku 300 eurov se kaznuje za prekršek pravna oseba, samostojni podjetnik posameznik in posameznik, ki samostojno opravlja dejavnost, z globo 100 eurov pa njihova odgovorna oseba, ki:</w:t>
      </w:r>
    </w:p>
    <w:p w14:paraId="042D2012" w14:textId="77777777" w:rsidR="001D62F5" w:rsidRPr="001D62F5" w:rsidRDefault="00843CFA" w:rsidP="0081313B">
      <w:pPr>
        <w:spacing w:after="0"/>
        <w:jc w:val="both"/>
      </w:pPr>
      <w:r w:rsidRPr="001D62F5">
        <w:rPr>
          <w:rFonts w:eastAsia="Times New Roman" w:cs="Tahoma"/>
          <w:lang w:eastAsia="sl-SI"/>
        </w:rPr>
        <w:t>1. tri dni pred postavitvijo in odstranitvijo tabora o tem ne obvesti pristojnega organa Občine Črnomelj (prvi odstavek 7. člena);</w:t>
      </w:r>
    </w:p>
    <w:p w14:paraId="5233F90D" w14:textId="77777777" w:rsidR="00843CFA" w:rsidRPr="001D62F5" w:rsidRDefault="001D62F5" w:rsidP="0081313B">
      <w:pPr>
        <w:spacing w:after="0"/>
        <w:jc w:val="both"/>
        <w:rPr>
          <w:rFonts w:eastAsia="Times New Roman" w:cs="Tahoma"/>
          <w:lang w:eastAsia="sl-SI"/>
        </w:rPr>
      </w:pPr>
      <w:r w:rsidRPr="001D62F5">
        <w:rPr>
          <w:rFonts w:eastAsia="Times New Roman" w:cs="Tahoma"/>
          <w:lang w:eastAsia="sl-SI"/>
        </w:rPr>
        <w:lastRenderedPageBreak/>
        <w:t>2. ne upošteva navodil pristojnega organa Občine Črnomelj (drugi odstavek 7. člena);</w:t>
      </w:r>
    </w:p>
    <w:p w14:paraId="2EE64F80" w14:textId="77777777" w:rsidR="001D62F5" w:rsidRDefault="001D62F5" w:rsidP="0081313B">
      <w:pPr>
        <w:spacing w:after="0" w:line="240" w:lineRule="auto"/>
        <w:jc w:val="both"/>
        <w:rPr>
          <w:rFonts w:eastAsia="Times New Roman" w:cs="Tahoma"/>
          <w:lang w:eastAsia="sl-SI"/>
        </w:rPr>
      </w:pPr>
      <w:r w:rsidRPr="001D62F5">
        <w:rPr>
          <w:rFonts w:eastAsia="Times New Roman" w:cs="Tahoma"/>
          <w:lang w:eastAsia="sl-SI"/>
        </w:rPr>
        <w:t>3. pristojnemu organu občine v treh dneh pred postavitvijo tabora ne posreduje dokumentacije o taboru (8. člen).«</w:t>
      </w:r>
    </w:p>
    <w:p w14:paraId="6827D6D6" w14:textId="77777777" w:rsidR="00086033" w:rsidRDefault="00086033" w:rsidP="0081313B">
      <w:pPr>
        <w:spacing w:after="0" w:line="240" w:lineRule="auto"/>
        <w:jc w:val="both"/>
        <w:rPr>
          <w:rFonts w:eastAsia="Times New Roman" w:cs="Tahoma"/>
          <w:lang w:eastAsia="sl-SI"/>
        </w:rPr>
      </w:pPr>
    </w:p>
    <w:p w14:paraId="732F0781" w14:textId="77777777" w:rsidR="00CD6ABF" w:rsidRPr="001D62F5" w:rsidRDefault="00CD6ABF" w:rsidP="001D62F5">
      <w:pPr>
        <w:spacing w:after="0" w:line="240" w:lineRule="auto"/>
        <w:jc w:val="both"/>
        <w:rPr>
          <w:rFonts w:eastAsia="Times New Roman" w:cs="Tahoma"/>
          <w:lang w:eastAsia="sl-SI"/>
        </w:rPr>
      </w:pPr>
    </w:p>
    <w:p w14:paraId="7B018E92" w14:textId="523519A0" w:rsidR="00CD6ABF" w:rsidRPr="00CD6ABF" w:rsidRDefault="000F289F" w:rsidP="00CD6ABF">
      <w:pPr>
        <w:jc w:val="center"/>
        <w:rPr>
          <w:b/>
        </w:rPr>
      </w:pPr>
      <w:r>
        <w:rPr>
          <w:b/>
        </w:rPr>
        <w:t>5</w:t>
      </w:r>
      <w:r w:rsidR="00CD6ABF" w:rsidRPr="00843CFA">
        <w:rPr>
          <w:b/>
        </w:rPr>
        <w:t>.</w:t>
      </w:r>
      <w:r w:rsidR="00CD6ABF">
        <w:rPr>
          <w:b/>
        </w:rPr>
        <w:t xml:space="preserve"> </w:t>
      </w:r>
      <w:r w:rsidR="00CD6ABF" w:rsidRPr="00843CFA">
        <w:rPr>
          <w:b/>
        </w:rPr>
        <w:t>člen</w:t>
      </w:r>
    </w:p>
    <w:p w14:paraId="50E2CF83" w14:textId="2C7E35DF" w:rsidR="00CD6ABF" w:rsidRPr="00F956E2" w:rsidRDefault="00CD6ABF" w:rsidP="00CD6ABF">
      <w:pPr>
        <w:spacing w:after="0" w:line="240" w:lineRule="auto"/>
        <w:rPr>
          <w:rFonts w:eastAsia="Times New Roman" w:cs="Calibri"/>
          <w:lang w:eastAsia="sl-SI"/>
        </w:rPr>
      </w:pPr>
      <w:r w:rsidRPr="00F956E2">
        <w:rPr>
          <w:rFonts w:eastAsia="Times New Roman" w:cs="Calibri"/>
          <w:lang w:eastAsia="sl-SI"/>
        </w:rPr>
        <w:t>T</w:t>
      </w:r>
      <w:r>
        <w:rPr>
          <w:rFonts w:eastAsia="Times New Roman" w:cs="Calibri"/>
          <w:lang w:eastAsia="sl-SI"/>
        </w:rPr>
        <w:t>a odlok začne  veljati osmi</w:t>
      </w:r>
      <w:r w:rsidRPr="00F956E2">
        <w:rPr>
          <w:rFonts w:eastAsia="Times New Roman" w:cs="Calibri"/>
          <w:lang w:eastAsia="sl-SI"/>
        </w:rPr>
        <w:t xml:space="preserve"> dan po objavi v Uradnem listu Republike Slovenije.</w:t>
      </w:r>
    </w:p>
    <w:p w14:paraId="05C77BBE" w14:textId="77777777" w:rsidR="00CD6ABF" w:rsidRDefault="00CD6ABF" w:rsidP="001D62F5"/>
    <w:p w14:paraId="5A24EEE2" w14:textId="77777777" w:rsidR="000F289F" w:rsidRPr="0039445C" w:rsidRDefault="000F289F" w:rsidP="001D62F5"/>
    <w:p w14:paraId="73AC0A09" w14:textId="7EAAC8F6" w:rsidR="0081313B" w:rsidRPr="0039445C" w:rsidRDefault="0081313B" w:rsidP="0081313B">
      <w:pPr>
        <w:pStyle w:val="Brezrazmikov"/>
        <w:rPr>
          <w:rFonts w:ascii="Roboto" w:hAnsi="Roboto"/>
        </w:rPr>
      </w:pPr>
      <w:r w:rsidRPr="0039445C">
        <w:rPr>
          <w:rFonts w:ascii="Roboto" w:hAnsi="Roboto"/>
        </w:rPr>
        <w:t>Št.: 332-29/1998</w:t>
      </w:r>
    </w:p>
    <w:p w14:paraId="2A09E5BF" w14:textId="78EC8AF6" w:rsidR="0081313B" w:rsidRPr="0039445C" w:rsidRDefault="0081313B" w:rsidP="0081313B">
      <w:pPr>
        <w:pStyle w:val="Brezrazmikov"/>
        <w:rPr>
          <w:rFonts w:ascii="Roboto" w:hAnsi="Roboto"/>
        </w:rPr>
      </w:pPr>
      <w:r w:rsidRPr="0039445C">
        <w:rPr>
          <w:rFonts w:ascii="Roboto" w:hAnsi="Roboto"/>
        </w:rPr>
        <w:t>Črnomelj, dne ____________</w:t>
      </w:r>
    </w:p>
    <w:p w14:paraId="58BF8835" w14:textId="77777777" w:rsidR="0081313B" w:rsidRPr="0039445C" w:rsidRDefault="0081313B" w:rsidP="00813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7080"/>
        <w:jc w:val="center"/>
        <w:rPr>
          <w:rFonts w:cs="Tahoma"/>
          <w:color w:val="000000"/>
        </w:rPr>
      </w:pPr>
      <w:r w:rsidRPr="0039445C">
        <w:rPr>
          <w:rFonts w:cs="Tahoma"/>
          <w:color w:val="000000"/>
        </w:rPr>
        <w:t>Župan</w:t>
      </w:r>
    </w:p>
    <w:p w14:paraId="46D93F75" w14:textId="77777777" w:rsidR="0081313B" w:rsidRPr="0039445C" w:rsidRDefault="0081313B" w:rsidP="00813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7080"/>
        <w:jc w:val="center"/>
        <w:rPr>
          <w:rFonts w:cs="Tahoma"/>
          <w:color w:val="000000"/>
        </w:rPr>
      </w:pPr>
      <w:r w:rsidRPr="0039445C">
        <w:rPr>
          <w:rFonts w:cs="Tahoma"/>
          <w:color w:val="000000"/>
        </w:rPr>
        <w:t>Občine Črnomelj</w:t>
      </w:r>
    </w:p>
    <w:p w14:paraId="17643C0E" w14:textId="77777777" w:rsidR="0081313B" w:rsidRDefault="0081313B" w:rsidP="00813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7080"/>
        <w:jc w:val="center"/>
        <w:rPr>
          <w:rFonts w:cs="Tahoma"/>
          <w:color w:val="000000"/>
        </w:rPr>
      </w:pPr>
      <w:bookmarkStart w:id="0" w:name="_GoBack"/>
      <w:bookmarkEnd w:id="0"/>
      <w:r w:rsidRPr="0039445C">
        <w:rPr>
          <w:rFonts w:cs="Tahoma"/>
          <w:color w:val="000000"/>
        </w:rPr>
        <w:t>Andrej Kavšek l.r.</w:t>
      </w:r>
    </w:p>
    <w:p w14:paraId="49F82C25" w14:textId="77777777" w:rsidR="00CD6ABF" w:rsidRPr="001D62F5" w:rsidRDefault="00CD6ABF" w:rsidP="001D62F5"/>
    <w:sectPr w:rsidR="00CD6ABF" w:rsidRPr="001D6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7FAF1E" w14:textId="77777777" w:rsidR="00843CFA" w:rsidRDefault="00843CFA" w:rsidP="00843CFA">
      <w:pPr>
        <w:spacing w:after="0" w:line="240" w:lineRule="auto"/>
      </w:pPr>
      <w:r>
        <w:separator/>
      </w:r>
    </w:p>
  </w:endnote>
  <w:endnote w:type="continuationSeparator" w:id="0">
    <w:p w14:paraId="3766BE6B" w14:textId="77777777" w:rsidR="00843CFA" w:rsidRDefault="00843CFA" w:rsidP="00843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014158" w14:textId="77777777" w:rsidR="00843CFA" w:rsidRDefault="00843CFA" w:rsidP="00843CFA">
      <w:pPr>
        <w:spacing w:after="0" w:line="240" w:lineRule="auto"/>
      </w:pPr>
      <w:r>
        <w:separator/>
      </w:r>
    </w:p>
  </w:footnote>
  <w:footnote w:type="continuationSeparator" w:id="0">
    <w:p w14:paraId="57CDFD71" w14:textId="77777777" w:rsidR="00843CFA" w:rsidRDefault="00843CFA" w:rsidP="00843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751D2"/>
    <w:multiLevelType w:val="hybridMultilevel"/>
    <w:tmpl w:val="1AA814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05E5F"/>
    <w:multiLevelType w:val="hybridMultilevel"/>
    <w:tmpl w:val="2E8C06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598"/>
    <w:rsid w:val="00086033"/>
    <w:rsid w:val="000F289F"/>
    <w:rsid w:val="001D62F5"/>
    <w:rsid w:val="00240979"/>
    <w:rsid w:val="002C57B0"/>
    <w:rsid w:val="0039445C"/>
    <w:rsid w:val="00432598"/>
    <w:rsid w:val="0081313B"/>
    <w:rsid w:val="00843CFA"/>
    <w:rsid w:val="00BC20B6"/>
    <w:rsid w:val="00CD6ABF"/>
    <w:rsid w:val="00EB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AD2B"/>
  <w15:chartTrackingRefBased/>
  <w15:docId w15:val="{9ED45B17-F005-4CB7-9D75-4BEF693E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Theme="minorHAnsi" w:hAnsi="Roboto" w:cs="Arial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432598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2C57B0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843CF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43CF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43CF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43CF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43CFA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43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43CFA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843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43CFA"/>
  </w:style>
  <w:style w:type="paragraph" w:styleId="Noga">
    <w:name w:val="footer"/>
    <w:basedOn w:val="Navaden"/>
    <w:link w:val="NogaZnak"/>
    <w:uiPriority w:val="99"/>
    <w:unhideWhenUsed/>
    <w:rsid w:val="00843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43CFA"/>
  </w:style>
  <w:style w:type="paragraph" w:styleId="Brezrazmikov">
    <w:name w:val="No Spacing"/>
    <w:uiPriority w:val="1"/>
    <w:qFormat/>
    <w:rsid w:val="0081313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4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rs.si/Pis.web/pregledPredpisa?id=ZAKO30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isrs.si/Pis.web/pregledPredpisa?id=ZAKO389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lex-localis.info/KatalogInformacij/PodrobnostiDokumenta.aspx?SectionID=3953c055-9442-40c7-b7c3-65ec45ab2a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isrs.si/Pis.web/pregledPredpisa?id=ZAKO2537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9</cp:revision>
  <dcterms:created xsi:type="dcterms:W3CDTF">2023-06-12T12:00:00Z</dcterms:created>
  <dcterms:modified xsi:type="dcterms:W3CDTF">2023-06-15T06:43:00Z</dcterms:modified>
</cp:coreProperties>
</file>